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A1544" w14:textId="3D4852B0" w:rsidR="00F24834" w:rsidRPr="00BD5B59" w:rsidRDefault="00F25A6D" w:rsidP="00C454E4">
      <w:pPr>
        <w:spacing w:line="360" w:lineRule="auto"/>
        <w:rPr>
          <w:color w:val="333399"/>
          <w:sz w:val="28"/>
          <w:szCs w:val="28"/>
        </w:rPr>
      </w:pPr>
      <w:r>
        <w:rPr>
          <w:color w:val="333399"/>
          <w:sz w:val="28"/>
          <w:szCs w:val="28"/>
        </w:rPr>
        <w:t>4</w:t>
      </w:r>
      <w:r w:rsidR="00C454E4" w:rsidRPr="00BD5B59">
        <w:rPr>
          <w:color w:val="333399"/>
          <w:sz w:val="28"/>
          <w:szCs w:val="28"/>
        </w:rPr>
        <w:t xml:space="preserve"> Průřezová témata</w:t>
      </w:r>
    </w:p>
    <w:p w14:paraId="35EEB73B" w14:textId="77777777" w:rsidR="00C454E4" w:rsidRDefault="00C454E4" w:rsidP="00C454E4">
      <w:pPr>
        <w:spacing w:line="360" w:lineRule="auto"/>
      </w:pPr>
    </w:p>
    <w:p w14:paraId="21F830FF" w14:textId="77777777" w:rsidR="00C454E4" w:rsidRDefault="00C454E4" w:rsidP="00C454E4">
      <w:pPr>
        <w:spacing w:line="360" w:lineRule="auto"/>
        <w:ind w:firstLine="709"/>
        <w:jc w:val="both"/>
      </w:pPr>
      <w:r>
        <w:t xml:space="preserve">Průřezová témata pojímáme jako důležité okruhy současných problémů, kterým je třeba při výuce a vzdělávání věnovat zvýšenou pozornost. Bereme je jako příležitost pro zlepšení individuálního uplatnění a kooperace ve třídních kolektivech. Nezanedbatelný je jejich formativní význam, kdy si žáci osvojují správné postoje v daných oblastech a mohou je při společné práci obhajovat před ostatními. </w:t>
      </w:r>
    </w:p>
    <w:p w14:paraId="497C62F4" w14:textId="77777777" w:rsidR="00C454E4" w:rsidRDefault="00C454E4" w:rsidP="00C454E4">
      <w:pPr>
        <w:spacing w:line="360" w:lineRule="auto"/>
        <w:ind w:firstLine="709"/>
        <w:jc w:val="both"/>
      </w:pPr>
      <w:r>
        <w:t xml:space="preserve">RVP pro ZV stanovuje, že osmiletá gymnázia musí na nižším stupni (tedy v prvních čtyřech ročnících) zařadit do svého vzdělávacího obsahu všechna průřezová témata. Z toho průřezové téma Výchova demokratického občana musí být zařazeno celé, tedy všechny jeho okruhy. Z ostatních průřezových témat jsme měli za povinnost zařadit aspoň některé tematické okruhy. </w:t>
      </w:r>
    </w:p>
    <w:p w14:paraId="43ED0CF2" w14:textId="77777777" w:rsidR="00C454E4" w:rsidRDefault="00C454E4" w:rsidP="00C454E4">
      <w:pPr>
        <w:spacing w:line="360" w:lineRule="auto"/>
        <w:ind w:firstLine="709"/>
        <w:jc w:val="both"/>
      </w:pPr>
      <w:r>
        <w:t>Při přípravě ŠVP</w:t>
      </w:r>
      <w:r w:rsidR="00BD5B59">
        <w:t xml:space="preserve"> jsme </w:t>
      </w:r>
      <w:r>
        <w:t xml:space="preserve">zjistili, že všechny okruhy jednotlivých témat jsou v přímém vztahu ke školním výstupům, které jsme již předtím stanovili </w:t>
      </w:r>
      <w:r w:rsidR="00BD5B59">
        <w:t xml:space="preserve">jako aplikaci výstupů RVP. Proto není okruh, který by nebyl zařazen do vzdělávacího obsahu našeho ŠVP. </w:t>
      </w:r>
    </w:p>
    <w:p w14:paraId="781685BD" w14:textId="77777777" w:rsidR="00BD5B59" w:rsidRDefault="00BD5B59" w:rsidP="00C454E4">
      <w:pPr>
        <w:spacing w:line="360" w:lineRule="auto"/>
        <w:ind w:firstLine="709"/>
        <w:jc w:val="both"/>
      </w:pPr>
      <w:r>
        <w:t>Následující tabulka přehledně ukazuje, ve kterých předmětech a ročnících jsou průřezová témata a jejich okruhy součástí výuky. Témat</w:t>
      </w:r>
      <w:r w:rsidR="00EB4FC8">
        <w:t xml:space="preserve">ům je přiřazena zkratka, </w:t>
      </w:r>
      <w:r>
        <w:t>okruhy jsou postupně očíslovány, a to takto:</w:t>
      </w:r>
    </w:p>
    <w:p w14:paraId="13159E19" w14:textId="77777777" w:rsidR="00B354DA" w:rsidRDefault="00B354DA" w:rsidP="00B354DA">
      <w:pPr>
        <w:pStyle w:val="uroven11velka"/>
        <w:rPr>
          <w:sz w:val="24"/>
          <w:szCs w:val="24"/>
        </w:rPr>
      </w:pPr>
      <w:bookmarkStart w:id="0" w:name="_Toc114286914"/>
    </w:p>
    <w:bookmarkEnd w:id="0"/>
    <w:p w14:paraId="3F5ED111" w14:textId="77777777" w:rsidR="00B354DA" w:rsidRPr="00EB4FC8" w:rsidRDefault="00EB4FC8" w:rsidP="00EB4FC8">
      <w:pPr>
        <w:pStyle w:val="uroven11velka"/>
        <w:ind w:left="0" w:firstLine="0"/>
        <w:rPr>
          <w:b w:val="0"/>
          <w:sz w:val="24"/>
          <w:szCs w:val="24"/>
          <w:u w:val="single"/>
        </w:rPr>
      </w:pPr>
      <w:r w:rsidRPr="00EB4FC8">
        <w:rPr>
          <w:b w:val="0"/>
          <w:sz w:val="24"/>
          <w:szCs w:val="24"/>
          <w:u w:val="single"/>
        </w:rPr>
        <w:t>Osobnostní a sociální výchova (OSV)</w:t>
      </w:r>
    </w:p>
    <w:p w14:paraId="3387448E" w14:textId="77777777" w:rsidR="00EB4FC8" w:rsidRPr="00EB4FC8" w:rsidRDefault="00EB4FC8" w:rsidP="00EB4FC8">
      <w:pPr>
        <w:pStyle w:val="StylMezititulekRVPZV11bTunZarovnatdoblokuPrvndekCharCharCharCharCharCharCharCharChar"/>
        <w:spacing w:before="0"/>
        <w:rPr>
          <w:b w:val="0"/>
          <w:sz w:val="24"/>
          <w:szCs w:val="24"/>
        </w:rPr>
      </w:pPr>
    </w:p>
    <w:p w14:paraId="675DCB15" w14:textId="77777777" w:rsidR="00B354DA" w:rsidRPr="00EB4FC8" w:rsidRDefault="00B354DA" w:rsidP="00EB4FC8">
      <w:pPr>
        <w:pStyle w:val="StylMezititulekRVPZV11bTunZarovnatdoblokuPrvndekCharCharCharCharCharCharCharCharChar"/>
        <w:spacing w:before="0"/>
        <w:rPr>
          <w:b w:val="0"/>
          <w:sz w:val="24"/>
          <w:szCs w:val="24"/>
        </w:rPr>
      </w:pPr>
      <w:r w:rsidRPr="00EB4FC8">
        <w:rPr>
          <w:b w:val="0"/>
          <w:sz w:val="24"/>
          <w:szCs w:val="24"/>
        </w:rPr>
        <w:t xml:space="preserve">1 Osobnostní rozvoj </w:t>
      </w:r>
    </w:p>
    <w:p w14:paraId="1444DA1F" w14:textId="77777777" w:rsidR="00B354DA" w:rsidRPr="00EB4FC8" w:rsidRDefault="00B354DA" w:rsidP="00EB4FC8">
      <w:pPr>
        <w:pStyle w:val="VetvtextuRVPZV"/>
        <w:numPr>
          <w:ilvl w:val="0"/>
          <w:numId w:val="3"/>
        </w:numPr>
        <w:tabs>
          <w:tab w:val="left" w:pos="567"/>
        </w:tabs>
        <w:spacing w:before="120"/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1.1 Rozvoj schopností poznávání </w:t>
      </w:r>
    </w:p>
    <w:p w14:paraId="3070838C" w14:textId="77777777" w:rsidR="00B354DA" w:rsidRPr="00EB4FC8" w:rsidRDefault="00B354DA" w:rsidP="00EB4FC8">
      <w:pPr>
        <w:pStyle w:val="VetvtextuRVPZV"/>
        <w:numPr>
          <w:ilvl w:val="0"/>
          <w:numId w:val="3"/>
        </w:numPr>
        <w:tabs>
          <w:tab w:val="left" w:pos="567"/>
        </w:tabs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1.2 Sebepoznání a sebepojetí </w:t>
      </w:r>
    </w:p>
    <w:p w14:paraId="677352BF" w14:textId="77777777" w:rsidR="00B354DA" w:rsidRPr="00EB4FC8" w:rsidRDefault="00B354DA" w:rsidP="00EB4FC8">
      <w:pPr>
        <w:pStyle w:val="VetvtextuRVPZV"/>
        <w:numPr>
          <w:ilvl w:val="0"/>
          <w:numId w:val="3"/>
        </w:numPr>
        <w:tabs>
          <w:tab w:val="left" w:pos="567"/>
        </w:tabs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1.3 Seberegulace a sebeorganizace </w:t>
      </w:r>
    </w:p>
    <w:p w14:paraId="4E3A4EC4" w14:textId="77777777" w:rsidR="00B354DA" w:rsidRPr="00EB4FC8" w:rsidRDefault="00B354DA" w:rsidP="00EB4FC8">
      <w:pPr>
        <w:pStyle w:val="VetvtextuRVPZV"/>
        <w:numPr>
          <w:ilvl w:val="0"/>
          <w:numId w:val="3"/>
        </w:numPr>
        <w:tabs>
          <w:tab w:val="left" w:pos="567"/>
        </w:tabs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1.4 Psychohygiena </w:t>
      </w:r>
    </w:p>
    <w:p w14:paraId="2DEC85D4" w14:textId="77777777" w:rsidR="00EB4FC8" w:rsidRPr="00EB4FC8" w:rsidRDefault="00B354DA" w:rsidP="00EB4FC8">
      <w:pPr>
        <w:pStyle w:val="VetvtextuRVPZV"/>
        <w:numPr>
          <w:ilvl w:val="0"/>
          <w:numId w:val="3"/>
        </w:numPr>
        <w:tabs>
          <w:tab w:val="left" w:pos="567"/>
        </w:tabs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1.5 Kreativita </w:t>
      </w:r>
    </w:p>
    <w:p w14:paraId="65D6DA93" w14:textId="77777777" w:rsidR="00EB4FC8" w:rsidRPr="00EB4FC8" w:rsidRDefault="00EB4FC8" w:rsidP="00EB4FC8">
      <w:pPr>
        <w:pStyle w:val="StylMezititulekRVPZV11bTunZarovnatdoblokuPrvndekCharCharCharCharCharCharCharCharChar"/>
        <w:spacing w:before="0"/>
        <w:rPr>
          <w:sz w:val="24"/>
          <w:szCs w:val="24"/>
        </w:rPr>
      </w:pPr>
    </w:p>
    <w:p w14:paraId="7E8C1AF5" w14:textId="77777777" w:rsidR="00EB4FC8" w:rsidRPr="00EB4FC8" w:rsidRDefault="00EB4FC8" w:rsidP="00EB4FC8">
      <w:pPr>
        <w:pStyle w:val="StylMezititulekRVPZV11bTunZarovnatdoblokuPrvndekCharCharCharCharCharCharCharCharChar"/>
        <w:spacing w:before="0"/>
        <w:rPr>
          <w:b w:val="0"/>
          <w:sz w:val="24"/>
          <w:szCs w:val="24"/>
        </w:rPr>
      </w:pPr>
      <w:r w:rsidRPr="00EB4FC8">
        <w:rPr>
          <w:b w:val="0"/>
          <w:sz w:val="24"/>
          <w:szCs w:val="24"/>
        </w:rPr>
        <w:t xml:space="preserve">2 Sociální rozvoj </w:t>
      </w:r>
    </w:p>
    <w:p w14:paraId="5FF315E0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spacing w:before="120"/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2.1 Poznávání lidí </w:t>
      </w:r>
    </w:p>
    <w:p w14:paraId="0B9B095F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2.2 Mezilidské vztahy </w:t>
      </w:r>
    </w:p>
    <w:p w14:paraId="55C33091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2.3 Komunikace </w:t>
      </w:r>
    </w:p>
    <w:p w14:paraId="3C2B0736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2.4 Kooperace a kompetice </w:t>
      </w:r>
    </w:p>
    <w:p w14:paraId="59C088F8" w14:textId="77777777" w:rsidR="00EB4FC8" w:rsidRPr="00EB4FC8" w:rsidRDefault="00EB4FC8" w:rsidP="00EB4FC8">
      <w:pPr>
        <w:pStyle w:val="StylMezititulekRVPZV11bTunZarovnatdoblokuPrvndekCharCharCharCharCharCharCharCharCharChar"/>
        <w:spacing w:before="0"/>
        <w:rPr>
          <w:b w:val="0"/>
          <w:sz w:val="24"/>
          <w:szCs w:val="24"/>
        </w:rPr>
      </w:pPr>
    </w:p>
    <w:p w14:paraId="4A537094" w14:textId="77777777" w:rsidR="00EB4FC8" w:rsidRPr="00EB4FC8" w:rsidRDefault="00EB4FC8" w:rsidP="00EB4FC8">
      <w:pPr>
        <w:pStyle w:val="StylMezititulekRVPZV11bTunZarovnatdoblokuPrvndekCharCharCharCharCharCharCharCharCharChar"/>
        <w:spacing w:before="0"/>
        <w:rPr>
          <w:b w:val="0"/>
          <w:sz w:val="24"/>
          <w:szCs w:val="24"/>
        </w:rPr>
      </w:pPr>
      <w:r w:rsidRPr="00EB4FC8">
        <w:rPr>
          <w:b w:val="0"/>
          <w:sz w:val="24"/>
          <w:szCs w:val="24"/>
        </w:rPr>
        <w:t xml:space="preserve">3 Morální rozvoj </w:t>
      </w:r>
    </w:p>
    <w:p w14:paraId="7E12B979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spacing w:before="120"/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3.1 Řešení problémů a rozhodovací dovednosti </w:t>
      </w:r>
    </w:p>
    <w:p w14:paraId="2F6263C0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3.2 Hodnoty, postoje, praktická etika </w:t>
      </w:r>
    </w:p>
    <w:p w14:paraId="6C997BEA" w14:textId="77777777" w:rsidR="00EB4FC8" w:rsidRDefault="00EB4FC8" w:rsidP="00EB4FC8">
      <w:pPr>
        <w:pStyle w:val="VetvtextuRVPZV"/>
        <w:numPr>
          <w:ilvl w:val="0"/>
          <w:numId w:val="0"/>
        </w:numPr>
        <w:tabs>
          <w:tab w:val="left" w:pos="567"/>
        </w:tabs>
        <w:rPr>
          <w:sz w:val="24"/>
          <w:szCs w:val="24"/>
        </w:rPr>
      </w:pPr>
    </w:p>
    <w:p w14:paraId="57339E91" w14:textId="77777777" w:rsidR="00EB4FC8" w:rsidRDefault="00EB4FC8" w:rsidP="00EB4FC8">
      <w:pPr>
        <w:pStyle w:val="VetvtextuRVPZV"/>
        <w:numPr>
          <w:ilvl w:val="0"/>
          <w:numId w:val="0"/>
        </w:numPr>
        <w:tabs>
          <w:tab w:val="left" w:pos="567"/>
        </w:tabs>
        <w:rPr>
          <w:sz w:val="24"/>
          <w:szCs w:val="24"/>
          <w:u w:val="single"/>
        </w:rPr>
      </w:pPr>
      <w:r w:rsidRPr="00EB4FC8">
        <w:rPr>
          <w:sz w:val="24"/>
          <w:szCs w:val="24"/>
          <w:u w:val="single"/>
        </w:rPr>
        <w:t>Výchova demokratického občana (VDO)</w:t>
      </w:r>
    </w:p>
    <w:p w14:paraId="72570381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1 Občanská společnost a škola </w:t>
      </w:r>
    </w:p>
    <w:p w14:paraId="0F2E5C1C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2 Občan, občanská společnost a stát </w:t>
      </w:r>
    </w:p>
    <w:p w14:paraId="0090558C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3 Formy participace občanů v politickém životě </w:t>
      </w:r>
    </w:p>
    <w:p w14:paraId="3C2E9841" w14:textId="77777777" w:rsid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>4 Principy demokracie jako f</w:t>
      </w:r>
      <w:r>
        <w:rPr>
          <w:sz w:val="24"/>
          <w:szCs w:val="24"/>
        </w:rPr>
        <w:t>ormy vlády a způsobu rozhodování</w:t>
      </w:r>
    </w:p>
    <w:p w14:paraId="6293B886" w14:textId="77777777" w:rsid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</w:p>
    <w:p w14:paraId="581AD9D9" w14:textId="77777777" w:rsid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</w:p>
    <w:p w14:paraId="19244CA0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  <w:u w:val="single"/>
        </w:rPr>
      </w:pPr>
      <w:r w:rsidRPr="00EB4FC8">
        <w:rPr>
          <w:sz w:val="24"/>
          <w:szCs w:val="24"/>
          <w:u w:val="single"/>
        </w:rPr>
        <w:lastRenderedPageBreak/>
        <w:t>Výchova k myšlení v evropských a globálních souvislostech (EGS)</w:t>
      </w:r>
    </w:p>
    <w:p w14:paraId="209C5418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tabs>
          <w:tab w:val="clear" w:pos="567"/>
        </w:tabs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1 Evropa a svět nás zajímá </w:t>
      </w:r>
    </w:p>
    <w:p w14:paraId="2852D883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tabs>
          <w:tab w:val="clear" w:pos="567"/>
        </w:tabs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2 Objevujeme Evropu a svět </w:t>
      </w:r>
    </w:p>
    <w:p w14:paraId="0D48F17C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tabs>
          <w:tab w:val="clear" w:pos="567"/>
        </w:tabs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3 Jsme Evropané </w:t>
      </w:r>
    </w:p>
    <w:p w14:paraId="4264D7FF" w14:textId="77777777" w:rsidR="00B354DA" w:rsidRDefault="00B354DA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</w:p>
    <w:p w14:paraId="31BF2316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  <w:u w:val="single"/>
        </w:rPr>
      </w:pPr>
      <w:r w:rsidRPr="00EB4FC8">
        <w:rPr>
          <w:sz w:val="24"/>
          <w:szCs w:val="24"/>
          <w:u w:val="single"/>
        </w:rPr>
        <w:t>Multikulturní výchova (MKV)</w:t>
      </w:r>
    </w:p>
    <w:p w14:paraId="0CB1C77B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tabs>
          <w:tab w:val="clear" w:pos="567"/>
        </w:tabs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1 Kulturní diference </w:t>
      </w:r>
    </w:p>
    <w:p w14:paraId="1B3E6DE9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tabs>
          <w:tab w:val="clear" w:pos="567"/>
        </w:tabs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2 Lidské vztahy </w:t>
      </w:r>
    </w:p>
    <w:p w14:paraId="450B4E46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tabs>
          <w:tab w:val="clear" w:pos="567"/>
        </w:tabs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3 Etnický původ </w:t>
      </w:r>
    </w:p>
    <w:p w14:paraId="5DC6A9F8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tabs>
          <w:tab w:val="clear" w:pos="567"/>
        </w:tabs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4 Multikulturalita </w:t>
      </w:r>
    </w:p>
    <w:p w14:paraId="2973876E" w14:textId="77777777" w:rsid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5 Princip sociálního smíru a solidarity </w:t>
      </w:r>
    </w:p>
    <w:p w14:paraId="501F55DC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  <w:u w:val="single"/>
        </w:rPr>
      </w:pPr>
    </w:p>
    <w:p w14:paraId="5D2DBD06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  <w:u w:val="single"/>
        </w:rPr>
      </w:pPr>
      <w:r w:rsidRPr="00EB4FC8">
        <w:rPr>
          <w:sz w:val="24"/>
          <w:szCs w:val="24"/>
          <w:u w:val="single"/>
        </w:rPr>
        <w:t>Environmentální výchova (ENV)</w:t>
      </w:r>
    </w:p>
    <w:p w14:paraId="3EB982CB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1 Ekosystémy </w:t>
      </w:r>
    </w:p>
    <w:p w14:paraId="6DDB89FF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2 Základní podmínky života </w:t>
      </w:r>
    </w:p>
    <w:p w14:paraId="1A49FD31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3 Lidské aktivity a problémy životního prostředí </w:t>
      </w:r>
    </w:p>
    <w:p w14:paraId="2382F687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 xml:space="preserve">4 Vztah člověka k prostředí </w:t>
      </w:r>
    </w:p>
    <w:p w14:paraId="72385595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</w:p>
    <w:p w14:paraId="76382C56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  <w:u w:val="single"/>
        </w:rPr>
      </w:pPr>
      <w:r w:rsidRPr="00EB4FC8">
        <w:rPr>
          <w:sz w:val="24"/>
          <w:szCs w:val="24"/>
          <w:u w:val="single"/>
        </w:rPr>
        <w:t xml:space="preserve">Mediální výchova (MEV) </w:t>
      </w:r>
    </w:p>
    <w:p w14:paraId="6409DF25" w14:textId="77777777" w:rsidR="00EB4FC8" w:rsidRPr="00EB4FC8" w:rsidRDefault="00EB4FC8" w:rsidP="00EB4FC8">
      <w:pPr>
        <w:pStyle w:val="StylMezititulekRVPZV11bTunZarovnatdoblokuPrvndekCharCharCharCharCharCharCharCharChar"/>
        <w:spacing w:before="0"/>
        <w:rPr>
          <w:sz w:val="24"/>
          <w:szCs w:val="24"/>
        </w:rPr>
      </w:pPr>
    </w:p>
    <w:p w14:paraId="69C26AAD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>1 Tematické okruhy receptivních činností</w:t>
      </w:r>
    </w:p>
    <w:p w14:paraId="62835FB0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spacing w:before="120"/>
        <w:ind w:left="567" w:hanging="397"/>
        <w:rPr>
          <w:sz w:val="24"/>
          <w:szCs w:val="24"/>
        </w:rPr>
      </w:pPr>
      <w:r>
        <w:rPr>
          <w:sz w:val="24"/>
          <w:szCs w:val="24"/>
        </w:rPr>
        <w:t>1.1 K</w:t>
      </w:r>
      <w:r w:rsidRPr="00EB4FC8">
        <w:rPr>
          <w:sz w:val="24"/>
          <w:szCs w:val="24"/>
        </w:rPr>
        <w:t xml:space="preserve">ritické čtení a vnímání mediálních sdělení </w:t>
      </w:r>
    </w:p>
    <w:p w14:paraId="64FAD1E8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spacing w:before="120"/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1.2 </w:t>
      </w:r>
      <w:r>
        <w:rPr>
          <w:sz w:val="24"/>
          <w:szCs w:val="24"/>
        </w:rPr>
        <w:t>I</w:t>
      </w:r>
      <w:r w:rsidRPr="00EB4FC8">
        <w:rPr>
          <w:sz w:val="24"/>
          <w:szCs w:val="24"/>
        </w:rPr>
        <w:t xml:space="preserve">nterpretace vztahu mediálních sdělení a reality </w:t>
      </w:r>
    </w:p>
    <w:p w14:paraId="05538B80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spacing w:before="120"/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1.3 </w:t>
      </w:r>
      <w:r>
        <w:rPr>
          <w:sz w:val="24"/>
          <w:szCs w:val="24"/>
        </w:rPr>
        <w:t>S</w:t>
      </w:r>
      <w:r w:rsidRPr="00EB4FC8">
        <w:rPr>
          <w:sz w:val="24"/>
          <w:szCs w:val="24"/>
        </w:rPr>
        <w:t xml:space="preserve">tavba mediálních sdělení </w:t>
      </w:r>
    </w:p>
    <w:p w14:paraId="711B5549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spacing w:before="120"/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1.4 </w:t>
      </w:r>
      <w:r>
        <w:rPr>
          <w:sz w:val="24"/>
          <w:szCs w:val="24"/>
        </w:rPr>
        <w:t>V</w:t>
      </w:r>
      <w:r w:rsidRPr="00EB4FC8">
        <w:rPr>
          <w:sz w:val="24"/>
          <w:szCs w:val="24"/>
        </w:rPr>
        <w:t xml:space="preserve">nímání autora mediálních sdělení </w:t>
      </w:r>
    </w:p>
    <w:p w14:paraId="40A3BCAB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spacing w:before="120"/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1.5 </w:t>
      </w:r>
      <w:r>
        <w:rPr>
          <w:sz w:val="24"/>
          <w:szCs w:val="24"/>
        </w:rPr>
        <w:t>F</w:t>
      </w:r>
      <w:r w:rsidRPr="00EB4FC8">
        <w:rPr>
          <w:sz w:val="24"/>
          <w:szCs w:val="24"/>
        </w:rPr>
        <w:t xml:space="preserve">ungování a vliv médií ve společnosti </w:t>
      </w:r>
    </w:p>
    <w:p w14:paraId="6489BC5E" w14:textId="77777777" w:rsid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right="0"/>
      </w:pPr>
    </w:p>
    <w:p w14:paraId="130C5099" w14:textId="77777777" w:rsidR="00EB4FC8" w:rsidRPr="00EB4FC8" w:rsidRDefault="00EB4FC8" w:rsidP="00EB4FC8">
      <w:pPr>
        <w:pStyle w:val="VetvtextuRVPZVCharPed3b"/>
        <w:numPr>
          <w:ilvl w:val="0"/>
          <w:numId w:val="0"/>
        </w:numPr>
        <w:autoSpaceDE/>
        <w:autoSpaceDN/>
        <w:ind w:left="360" w:right="0" w:hanging="360"/>
        <w:rPr>
          <w:sz w:val="24"/>
          <w:szCs w:val="24"/>
        </w:rPr>
      </w:pPr>
      <w:r w:rsidRPr="00EB4FC8">
        <w:rPr>
          <w:sz w:val="24"/>
          <w:szCs w:val="24"/>
        </w:rPr>
        <w:t>2 Tematické okruhy produktivních činností</w:t>
      </w:r>
    </w:p>
    <w:p w14:paraId="5A7CA704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spacing w:before="120"/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2.1 </w:t>
      </w:r>
      <w:r>
        <w:rPr>
          <w:sz w:val="24"/>
          <w:szCs w:val="24"/>
        </w:rPr>
        <w:t>T</w:t>
      </w:r>
      <w:r w:rsidRPr="00EB4FC8">
        <w:rPr>
          <w:sz w:val="24"/>
          <w:szCs w:val="24"/>
        </w:rPr>
        <w:t xml:space="preserve">vorba mediálního sdělení </w:t>
      </w:r>
    </w:p>
    <w:p w14:paraId="7B202F73" w14:textId="77777777" w:rsidR="00EB4FC8" w:rsidRPr="00EB4FC8" w:rsidRDefault="00EB4FC8" w:rsidP="00EB4FC8">
      <w:pPr>
        <w:pStyle w:val="VetvtextuRVPZV"/>
        <w:numPr>
          <w:ilvl w:val="0"/>
          <w:numId w:val="3"/>
        </w:numPr>
        <w:tabs>
          <w:tab w:val="left" w:pos="567"/>
        </w:tabs>
        <w:spacing w:before="120"/>
        <w:ind w:left="567" w:hanging="397"/>
        <w:rPr>
          <w:sz w:val="24"/>
          <w:szCs w:val="24"/>
        </w:rPr>
      </w:pPr>
      <w:r w:rsidRPr="00EB4FC8">
        <w:rPr>
          <w:sz w:val="24"/>
          <w:szCs w:val="24"/>
        </w:rPr>
        <w:t xml:space="preserve">2.2 </w:t>
      </w:r>
      <w:r>
        <w:rPr>
          <w:sz w:val="24"/>
          <w:szCs w:val="24"/>
        </w:rPr>
        <w:t>P</w:t>
      </w:r>
      <w:r w:rsidRPr="00EB4FC8">
        <w:rPr>
          <w:sz w:val="24"/>
          <w:szCs w:val="24"/>
        </w:rPr>
        <w:t xml:space="preserve">ráce v realizačním týmu </w:t>
      </w:r>
    </w:p>
    <w:p w14:paraId="1CC9374E" w14:textId="77777777" w:rsidR="00BD5B59" w:rsidRDefault="00BD5B59" w:rsidP="00EB4FC8">
      <w:pPr>
        <w:spacing w:line="360" w:lineRule="auto"/>
        <w:jc w:val="both"/>
      </w:pPr>
    </w:p>
    <w:p w14:paraId="6E5B6DCB" w14:textId="77777777" w:rsidR="00BD5B59" w:rsidRDefault="002A1752" w:rsidP="00C454E4">
      <w:pPr>
        <w:spacing w:line="360" w:lineRule="auto"/>
        <w:ind w:firstLine="709"/>
        <w:jc w:val="both"/>
      </w:pPr>
      <w:r>
        <w:t xml:space="preserve"> Pod stejným kódem, skládajícím se ze zkratky průřezového tématu a čísla okruhu, </w:t>
      </w:r>
      <w:r w:rsidR="00BD5B59">
        <w:t>j</w:t>
      </w:r>
      <w:r w:rsidR="0073488C">
        <w:t>sou</w:t>
      </w:r>
      <w:r w:rsidR="00BD5B59">
        <w:t xml:space="preserve"> na </w:t>
      </w:r>
      <w:r w:rsidR="0034573C">
        <w:t>něj</w:t>
      </w:r>
      <w:r>
        <w:t xml:space="preserve"> </w:t>
      </w:r>
      <w:r w:rsidR="00BD5B59">
        <w:t>odkaz</w:t>
      </w:r>
      <w:r w:rsidR="0073488C">
        <w:t>y</w:t>
      </w:r>
      <w:r w:rsidR="00BD5B59">
        <w:t xml:space="preserve"> v</w:t>
      </w:r>
      <w:r>
        <w:t> </w:t>
      </w:r>
      <w:r w:rsidR="00BD5B59">
        <w:t>osnovách</w:t>
      </w:r>
      <w:r>
        <w:t xml:space="preserve"> příslušného předmětu</w:t>
      </w:r>
      <w:r w:rsidR="0073488C">
        <w:t>, a to u konkrétních výstupů</w:t>
      </w:r>
      <w:r>
        <w:t xml:space="preserve">. </w:t>
      </w:r>
      <w:r w:rsidR="0034573C">
        <w:t xml:space="preserve">To dovoluje rychlou orientaci </w:t>
      </w:r>
      <w:r w:rsidR="00BD3211">
        <w:t xml:space="preserve">učitelům i těm, kteří </w:t>
      </w:r>
      <w:r w:rsidR="000117F4">
        <w:t xml:space="preserve">za </w:t>
      </w:r>
      <w:r w:rsidR="00BD3211">
        <w:t>plnění ŠVP budou</w:t>
      </w:r>
      <w:r w:rsidR="000117F4">
        <w:t xml:space="preserve"> odpovídat</w:t>
      </w:r>
      <w:r w:rsidR="00BD3211">
        <w:t xml:space="preserve">. </w:t>
      </w:r>
    </w:p>
    <w:p w14:paraId="4490095F" w14:textId="77777777" w:rsidR="00C454E4" w:rsidRDefault="00C454E4"/>
    <w:sectPr w:rsidR="00C454E4" w:rsidSect="00C454E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64D58"/>
    <w:multiLevelType w:val="singleLevel"/>
    <w:tmpl w:val="538E018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97524CC"/>
    <w:multiLevelType w:val="multilevel"/>
    <w:tmpl w:val="51E40CF6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2" w15:restartNumberingAfterBreak="0">
    <w:nsid w:val="2CCC37C5"/>
    <w:multiLevelType w:val="singleLevel"/>
    <w:tmpl w:val="538E0184"/>
    <w:lvl w:ilvl="0">
      <w:start w:val="16"/>
      <w:numFmt w:val="bullet"/>
      <w:pStyle w:val="VetvtextuRVPZVCharPed3b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88E6086"/>
    <w:multiLevelType w:val="multilevel"/>
    <w:tmpl w:val="96ACE048"/>
    <w:lvl w:ilvl="0">
      <w:start w:val="6"/>
      <w:numFmt w:val="decimal"/>
      <w:pStyle w:val="VetvtextuRVPZV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B253FC0"/>
    <w:multiLevelType w:val="singleLevel"/>
    <w:tmpl w:val="5CB2B5B6"/>
    <w:lvl w:ilvl="0">
      <w:start w:val="1"/>
      <w:numFmt w:val="bullet"/>
      <w:lvlText w:val=""/>
      <w:lvlJc w:val="left"/>
      <w:pPr>
        <w:tabs>
          <w:tab w:val="num" w:pos="530"/>
        </w:tabs>
        <w:ind w:left="530" w:hanging="360"/>
      </w:pPr>
      <w:rPr>
        <w:rFonts w:ascii="Wingdings" w:hAnsi="Wingdings" w:cs="Arial Narrow" w:hint="default"/>
        <w:b w:val="0"/>
        <w:bCs w:val="0"/>
        <w:i w:val="0"/>
        <w:iCs w:val="0"/>
        <w:sz w:val="18"/>
        <w:szCs w:val="18"/>
      </w:rPr>
    </w:lvl>
  </w:abstractNum>
  <w:abstractNum w:abstractNumId="5" w15:restartNumberingAfterBreak="0">
    <w:nsid w:val="6F7A66B2"/>
    <w:multiLevelType w:val="multilevel"/>
    <w:tmpl w:val="969EBA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344515">
    <w:abstractNumId w:val="3"/>
  </w:num>
  <w:num w:numId="2" w16cid:durableId="1374498806">
    <w:abstractNumId w:val="5"/>
  </w:num>
  <w:num w:numId="3" w16cid:durableId="463544295">
    <w:abstractNumId w:val="2"/>
  </w:num>
  <w:num w:numId="4" w16cid:durableId="646327018">
    <w:abstractNumId w:val="1"/>
  </w:num>
  <w:num w:numId="5" w16cid:durableId="1037393344">
    <w:abstractNumId w:val="0"/>
  </w:num>
  <w:num w:numId="6" w16cid:durableId="1038973289">
    <w:abstractNumId w:val="4"/>
  </w:num>
  <w:num w:numId="7" w16cid:durableId="1064841841">
    <w:abstractNumId w:val="2"/>
  </w:num>
  <w:num w:numId="8" w16cid:durableId="1784306612">
    <w:abstractNumId w:val="2"/>
  </w:num>
  <w:num w:numId="9" w16cid:durableId="428086995">
    <w:abstractNumId w:val="2"/>
  </w:num>
  <w:num w:numId="10" w16cid:durableId="1081410048">
    <w:abstractNumId w:val="2"/>
  </w:num>
  <w:num w:numId="11" w16cid:durableId="236329153">
    <w:abstractNumId w:val="2"/>
  </w:num>
  <w:num w:numId="12" w16cid:durableId="200745508">
    <w:abstractNumId w:val="2"/>
  </w:num>
  <w:num w:numId="13" w16cid:durableId="708333834">
    <w:abstractNumId w:val="2"/>
  </w:num>
  <w:num w:numId="14" w16cid:durableId="1465738493">
    <w:abstractNumId w:val="2"/>
  </w:num>
  <w:num w:numId="15" w16cid:durableId="1256596213">
    <w:abstractNumId w:val="2"/>
  </w:num>
  <w:num w:numId="16" w16cid:durableId="478960858">
    <w:abstractNumId w:val="2"/>
  </w:num>
  <w:num w:numId="17" w16cid:durableId="1110008457">
    <w:abstractNumId w:val="3"/>
  </w:num>
  <w:num w:numId="18" w16cid:durableId="593901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54E4"/>
    <w:rsid w:val="000117F4"/>
    <w:rsid w:val="000B5474"/>
    <w:rsid w:val="001A1F30"/>
    <w:rsid w:val="002A1752"/>
    <w:rsid w:val="0034573C"/>
    <w:rsid w:val="006A5669"/>
    <w:rsid w:val="0073488C"/>
    <w:rsid w:val="00A62ED5"/>
    <w:rsid w:val="00B354DA"/>
    <w:rsid w:val="00BD3211"/>
    <w:rsid w:val="00BD5B59"/>
    <w:rsid w:val="00C454E4"/>
    <w:rsid w:val="00C47169"/>
    <w:rsid w:val="00EB4FC8"/>
    <w:rsid w:val="00F24834"/>
    <w:rsid w:val="00F2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477C17"/>
  <w15:docId w15:val="{61807C87-8F0A-45FA-8948-3E33B570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roven11velka">
    <w:name w:val="uroven 1.1 velka"/>
    <w:basedOn w:val="Normln"/>
    <w:rsid w:val="00B354DA"/>
    <w:pPr>
      <w:tabs>
        <w:tab w:val="left" w:pos="567"/>
      </w:tabs>
      <w:ind w:left="567" w:hanging="567"/>
    </w:pPr>
    <w:rPr>
      <w:b/>
      <w:sz w:val="32"/>
      <w:szCs w:val="20"/>
    </w:rPr>
  </w:style>
  <w:style w:type="paragraph" w:customStyle="1" w:styleId="VetvtextuRVPZV">
    <w:name w:val="Výčet v textu_RVPZV"/>
    <w:basedOn w:val="Normln"/>
    <w:rsid w:val="00B354DA"/>
    <w:pPr>
      <w:numPr>
        <w:numId w:val="1"/>
      </w:numPr>
      <w:spacing w:before="60"/>
      <w:jc w:val="both"/>
    </w:pPr>
    <w:rPr>
      <w:sz w:val="22"/>
      <w:szCs w:val="20"/>
    </w:rPr>
  </w:style>
  <w:style w:type="paragraph" w:customStyle="1" w:styleId="StylMezititulekRVPZV11bTunZarovnatdoblokuPrvndekCharCharCharCharCharCharCharCharChar">
    <w:name w:val="Styl Mezititulek_RVPZV 11 b. Tučné Zarovnat do bloku První řádek: ... Char Char Char Char Char Char Char Char Char"/>
    <w:basedOn w:val="Normln"/>
    <w:rsid w:val="00B354DA"/>
    <w:pPr>
      <w:tabs>
        <w:tab w:val="left" w:pos="567"/>
      </w:tabs>
      <w:spacing w:before="120"/>
    </w:pPr>
    <w:rPr>
      <w:b/>
      <w:sz w:val="22"/>
      <w:szCs w:val="20"/>
    </w:rPr>
  </w:style>
  <w:style w:type="paragraph" w:customStyle="1" w:styleId="StylMezititulekRVPZV11bTunZarovnatdoblokuPrvndekCharCharCharCharCharCharCharCharCharChar">
    <w:name w:val="Styl Mezititulek_RVPZV 11 b. Tučné Zarovnat do bloku První řádek: ... Char Char Char Char Char Char Char Char Char Char"/>
    <w:basedOn w:val="Normln"/>
    <w:rsid w:val="00EB4FC8"/>
    <w:pPr>
      <w:tabs>
        <w:tab w:val="left" w:pos="567"/>
      </w:tabs>
      <w:spacing w:before="120"/>
    </w:pPr>
    <w:rPr>
      <w:b/>
      <w:sz w:val="22"/>
      <w:szCs w:val="20"/>
    </w:rPr>
  </w:style>
  <w:style w:type="paragraph" w:customStyle="1" w:styleId="VetvtextuRVPZVCharPed3b">
    <w:name w:val="Výčet v textu_RVPZV Char + Před:  3 b."/>
    <w:basedOn w:val="Normln"/>
    <w:rsid w:val="00EB4FC8"/>
    <w:pPr>
      <w:numPr>
        <w:numId w:val="3"/>
      </w:numPr>
      <w:tabs>
        <w:tab w:val="left" w:pos="567"/>
      </w:tabs>
      <w:autoSpaceDE w:val="0"/>
      <w:autoSpaceDN w:val="0"/>
      <w:spacing w:before="60"/>
      <w:ind w:right="113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 Průřezová témata</vt:lpstr>
    </vt:vector>
  </TitlesOfParts>
  <Company>EDUCAnet, a.s.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Průřezová témata</dc:title>
  <dc:creator>Jan Jirátko</dc:creator>
  <cp:lastModifiedBy>Vaníková Alena</cp:lastModifiedBy>
  <cp:revision>3</cp:revision>
  <dcterms:created xsi:type="dcterms:W3CDTF">2012-09-20T08:24:00Z</dcterms:created>
  <dcterms:modified xsi:type="dcterms:W3CDTF">2024-06-04T08:47:00Z</dcterms:modified>
</cp:coreProperties>
</file>